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D72CB0" w:rsidP="00D72CB0">
      <w:r>
        <w:t>Learning Targets for Chapter 4: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9900" w:type="dxa"/>
        <w:tblInd w:w="108" w:type="dxa"/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800E7">
        <w:trPr>
          <w:cnfStyle w:val="1000000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1.2.5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1558CD">
            <w:pPr>
              <w:autoSpaceDE w:val="0"/>
              <w:autoSpaceDN w:val="0"/>
              <w:adjustRightInd w:val="0"/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problems that can occur if hardware is not maintained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p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roperly.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(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Mod1-68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1.2.6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maintenance that can be performed routinely by users.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1.2.7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1558CD">
            <w:pPr>
              <w:autoSpaceDE w:val="0"/>
              <w:autoSpaceDN w:val="0"/>
              <w:adjustRightInd w:val="0"/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maintenance that should ONLY be performed by experienced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professionals, including replacing or upgrading internal hardware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(especially electrical) components (such as processors or drives) that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are not designed to be user accessible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>. (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Mod1-84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1.2.8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the steps required to solve computer-related problems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IC³-1 1.2.9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D72CB0" w:rsidP="00D72CB0">
            <w:pPr>
              <w:autoSpaceDE w:val="0"/>
              <w:autoSpaceDN w:val="0"/>
              <w:adjustRightInd w:val="0"/>
              <w:cnfStyle w:val="00000000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consumer issues related to buying, maintaining, and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repairing a computer including:</w:t>
            </w:r>
          </w:p>
          <w:p w:rsidR="00D72CB0" w:rsidRDefault="00D72CB0" w:rsidP="00D72CB0">
            <w:pPr>
              <w:autoSpaceDE w:val="0"/>
              <w:autoSpaceDN w:val="0"/>
              <w:adjustRightInd w:val="0"/>
              <w:cnfStyle w:val="000000000000"/>
              <w:rPr>
                <w:rFonts w:ascii="TimesLTStd-Roman" w:hAnsi="TimesLTStd-Roman" w:cs="TimesLTStd-Roman"/>
                <w:sz w:val="20"/>
                <w:szCs w:val="20"/>
              </w:rPr>
            </w:pPr>
            <w:r>
              <w:rPr>
                <w:rFonts w:ascii="ZapfDingbats" w:eastAsia="ZapfDingbats" w:hAnsi="TradeGothicLTStd" w:cs="ZapfDingbats" w:hint="eastAsia"/>
                <w:sz w:val="14"/>
                <w:szCs w:val="14"/>
              </w:rPr>
              <w:t>■</w:t>
            </w:r>
            <w:r>
              <w:rPr>
                <w:rFonts w:ascii="ZapfDingbats" w:eastAsia="ZapfDingbats" w:hAnsi="TradeGothicLTStd" w:cs="ZapfDingbats"/>
                <w:sz w:val="14"/>
                <w:szCs w:val="14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Factors that go into an individual or organizational decision</w:t>
            </w:r>
            <w:r w:rsidR="001558CD">
              <w:rPr>
                <w:rFonts w:ascii="TradeGothicLTStd" w:hAnsi="TradeGothicLTStd" w:cs="TradeGothicLTStd"/>
                <w:sz w:val="20"/>
                <w:szCs w:val="20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on how to purchase computer equipmen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>t</w:t>
            </w:r>
          </w:p>
          <w:p w:rsidR="00D72CB0" w:rsidRDefault="00D72CB0" w:rsidP="00D72CB0">
            <w:pPr>
              <w:cnfStyle w:val="000000000000"/>
            </w:pPr>
            <w:r>
              <w:rPr>
                <w:rFonts w:ascii="ZapfDingbats" w:eastAsia="ZapfDingbats" w:hAnsi="TradeGothicLTStd" w:cs="ZapfDingbats" w:hint="eastAsia"/>
                <w:sz w:val="14"/>
                <w:szCs w:val="14"/>
              </w:rPr>
              <w:t>■</w:t>
            </w:r>
            <w:r>
              <w:rPr>
                <w:rFonts w:ascii="ZapfDingbats" w:eastAsia="ZapfDingbats" w:hAnsi="TradeGothicLTStd" w:cs="ZapfDingbats"/>
                <w:sz w:val="14"/>
                <w:szCs w:val="14"/>
              </w:rPr>
              <w:t xml:space="preserve"> </w:t>
            </w:r>
            <w:r>
              <w:rPr>
                <w:rFonts w:ascii="TradeGothicLTStd" w:hAnsi="TradeGothicLTStd" w:cs="TradeGothicLTStd"/>
                <w:sz w:val="20"/>
                <w:szCs w:val="20"/>
              </w:rPr>
              <w:t>Factors relating to maintenance and repair responsibilities.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</w:tbl>
    <w:p w:rsidR="00F800E7" w:rsidRDefault="00F800E7" w:rsidP="00F800E7">
      <w:pPr>
        <w:spacing w:after="0" w:line="240" w:lineRule="auto"/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A2" w:rsidRDefault="00A15CA2" w:rsidP="00A15CA2">
      <w:pPr>
        <w:spacing w:after="0" w:line="240" w:lineRule="auto"/>
      </w:pPr>
      <w:r>
        <w:separator/>
      </w:r>
    </w:p>
  </w:endnote>
  <w:endnote w:type="continuationSeparator" w:id="1">
    <w:p w:rsidR="00A15CA2" w:rsidRDefault="00A15CA2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A2" w:rsidRDefault="00A15CA2" w:rsidP="00A15CA2">
      <w:pPr>
        <w:spacing w:after="0" w:line="240" w:lineRule="auto"/>
      </w:pPr>
      <w:r>
        <w:separator/>
      </w:r>
    </w:p>
  </w:footnote>
  <w:footnote w:type="continuationSeparator" w:id="1">
    <w:p w:rsidR="00A15CA2" w:rsidRDefault="00A15CA2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F800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C278C"/>
    <w:rsid w:val="00A15CA2"/>
    <w:rsid w:val="00A9064D"/>
    <w:rsid w:val="00D72CB0"/>
    <w:rsid w:val="00DC1A46"/>
    <w:rsid w:val="00F765AD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Ms. Olmstead</cp:lastModifiedBy>
  <cp:revision>3</cp:revision>
  <cp:lastPrinted>2011-03-06T19:22:00Z</cp:lastPrinted>
  <dcterms:created xsi:type="dcterms:W3CDTF">2011-02-03T12:30:00Z</dcterms:created>
  <dcterms:modified xsi:type="dcterms:W3CDTF">2011-03-06T19:22:00Z</dcterms:modified>
</cp:coreProperties>
</file>